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23E33" w14:textId="77777777" w:rsidR="003F53B9" w:rsidRPr="003F53B9" w:rsidRDefault="003F53B9" w:rsidP="00F520AE">
      <w:pPr>
        <w:jc w:val="center"/>
        <w:rPr>
          <w:rFonts w:ascii="Calibri" w:hAnsi="Calibri" w:cs="Calibri"/>
          <w:b/>
          <w:bCs/>
          <w:sz w:val="8"/>
          <w:szCs w:val="8"/>
        </w:rPr>
      </w:pPr>
    </w:p>
    <w:p w14:paraId="0F79B230" w14:textId="50C3A0F2" w:rsidR="00F520AE" w:rsidRPr="003F53B9" w:rsidRDefault="00F520AE" w:rsidP="00F520AE">
      <w:pPr>
        <w:jc w:val="center"/>
        <w:rPr>
          <w:rFonts w:ascii="Calibri" w:hAnsi="Calibri" w:cs="Calibri"/>
          <w:b/>
          <w:bCs/>
          <w:sz w:val="40"/>
          <w:szCs w:val="40"/>
        </w:rPr>
      </w:pPr>
      <w:r w:rsidRPr="003F53B9">
        <w:rPr>
          <w:rFonts w:ascii="Calibri" w:hAnsi="Calibri" w:cs="Calibri"/>
          <w:b/>
          <w:bCs/>
          <w:sz w:val="40"/>
          <w:szCs w:val="40"/>
        </w:rPr>
        <w:t xml:space="preserve">Fund </w:t>
      </w:r>
      <w:proofErr w:type="spellStart"/>
      <w:r w:rsidRPr="003F53B9">
        <w:rPr>
          <w:rFonts w:ascii="Calibri" w:hAnsi="Calibri" w:cs="Calibri"/>
          <w:b/>
          <w:bCs/>
          <w:sz w:val="40"/>
          <w:szCs w:val="40"/>
        </w:rPr>
        <w:t>EcoMarket</w:t>
      </w:r>
      <w:proofErr w:type="spellEnd"/>
      <w:r w:rsidRPr="003F53B9">
        <w:rPr>
          <w:rFonts w:ascii="Calibri" w:hAnsi="Calibri" w:cs="Calibri"/>
          <w:b/>
          <w:bCs/>
          <w:sz w:val="40"/>
          <w:szCs w:val="40"/>
        </w:rPr>
        <w:t xml:space="preserve"> SRI Styles</w:t>
      </w:r>
    </w:p>
    <w:tbl>
      <w:tblPr>
        <w:tblStyle w:val="TableGrid1"/>
        <w:tblW w:w="9924" w:type="dxa"/>
        <w:tblInd w:w="-431" w:type="dxa"/>
        <w:tblBorders>
          <w:top w:val="single" w:sz="4" w:space="0" w:color="0B769F" w:themeColor="accent4" w:themeShade="BF"/>
          <w:left w:val="single" w:sz="4" w:space="0" w:color="0B769F" w:themeColor="accent4" w:themeShade="BF"/>
          <w:bottom w:val="single" w:sz="4" w:space="0" w:color="0B769F" w:themeColor="accent4" w:themeShade="BF"/>
          <w:right w:val="single" w:sz="4" w:space="0" w:color="0B769F" w:themeColor="accent4" w:themeShade="BF"/>
          <w:insideH w:val="single" w:sz="4" w:space="0" w:color="0B769F" w:themeColor="accent4" w:themeShade="BF"/>
          <w:insideV w:val="single" w:sz="4" w:space="0" w:color="0B769F" w:themeColor="accent4" w:themeShade="BF"/>
        </w:tblBorders>
        <w:tblLayout w:type="fixed"/>
        <w:tblLook w:val="04A0" w:firstRow="1" w:lastRow="0" w:firstColumn="1" w:lastColumn="0" w:noHBand="0" w:noVBand="1"/>
      </w:tblPr>
      <w:tblGrid>
        <w:gridCol w:w="2269"/>
        <w:gridCol w:w="4536"/>
        <w:gridCol w:w="851"/>
        <w:gridCol w:w="2268"/>
      </w:tblGrid>
      <w:tr w:rsidR="00F520AE" w:rsidRPr="0099297D" w14:paraId="1F677EB7" w14:textId="77777777" w:rsidTr="003F53B9">
        <w:tc>
          <w:tcPr>
            <w:tcW w:w="2269" w:type="dxa"/>
            <w:shd w:val="clear" w:color="auto" w:fill="D9F2D0" w:themeFill="accent6" w:themeFillTint="33"/>
            <w:vAlign w:val="center"/>
          </w:tcPr>
          <w:p w14:paraId="5B1C1A9F" w14:textId="77777777" w:rsidR="0099297D" w:rsidRPr="003F53B9" w:rsidRDefault="0099297D" w:rsidP="003F53B9">
            <w:pPr>
              <w:jc w:val="center"/>
              <w:rPr>
                <w:rFonts w:ascii="Calibri" w:eastAsia="Calibri" w:hAnsi="Calibri" w:cs="Calibri"/>
                <w:b/>
                <w:bCs/>
                <w:sz w:val="24"/>
                <w:szCs w:val="24"/>
              </w:rPr>
            </w:pPr>
            <w:r w:rsidRPr="003F53B9">
              <w:rPr>
                <w:rFonts w:ascii="Calibri" w:eastAsia="Calibri" w:hAnsi="Calibri" w:cs="Calibri"/>
                <w:b/>
                <w:bCs/>
                <w:sz w:val="24"/>
                <w:szCs w:val="24"/>
              </w:rPr>
              <w:t>SRI Style</w:t>
            </w:r>
          </w:p>
        </w:tc>
        <w:tc>
          <w:tcPr>
            <w:tcW w:w="4536" w:type="dxa"/>
            <w:shd w:val="clear" w:color="auto" w:fill="D9F2D0" w:themeFill="accent6" w:themeFillTint="33"/>
            <w:vAlign w:val="center"/>
          </w:tcPr>
          <w:p w14:paraId="60362D50" w14:textId="354A2524" w:rsidR="0099297D" w:rsidRPr="003F53B9" w:rsidRDefault="0099297D" w:rsidP="003F53B9">
            <w:pPr>
              <w:jc w:val="center"/>
              <w:rPr>
                <w:rFonts w:ascii="Calibri" w:eastAsia="Calibri" w:hAnsi="Calibri" w:cs="Calibri"/>
                <w:b/>
                <w:bCs/>
                <w:sz w:val="24"/>
                <w:szCs w:val="24"/>
              </w:rPr>
            </w:pPr>
            <w:r w:rsidRPr="003F53B9">
              <w:rPr>
                <w:rFonts w:ascii="Calibri" w:eastAsia="Calibri" w:hAnsi="Calibri" w:cs="Calibri"/>
                <w:b/>
                <w:bCs/>
                <w:sz w:val="24"/>
                <w:szCs w:val="24"/>
              </w:rPr>
              <w:t>Description</w:t>
            </w:r>
          </w:p>
        </w:tc>
        <w:tc>
          <w:tcPr>
            <w:tcW w:w="851" w:type="dxa"/>
            <w:shd w:val="clear" w:color="auto" w:fill="D9F2D0" w:themeFill="accent6" w:themeFillTint="33"/>
            <w:vAlign w:val="center"/>
          </w:tcPr>
          <w:p w14:paraId="197530F4" w14:textId="77777777" w:rsidR="0099297D" w:rsidRPr="003F53B9" w:rsidRDefault="0099297D" w:rsidP="003F53B9">
            <w:pPr>
              <w:jc w:val="center"/>
              <w:rPr>
                <w:rFonts w:ascii="Calibri" w:eastAsia="Calibri" w:hAnsi="Calibri" w:cs="Calibri"/>
                <w:b/>
                <w:bCs/>
                <w:sz w:val="24"/>
                <w:szCs w:val="24"/>
              </w:rPr>
            </w:pPr>
            <w:r w:rsidRPr="003F53B9">
              <w:rPr>
                <w:rFonts w:ascii="Calibri" w:eastAsia="Calibri" w:hAnsi="Calibri" w:cs="Calibri"/>
                <w:b/>
                <w:bCs/>
                <w:sz w:val="24"/>
                <w:szCs w:val="24"/>
              </w:rPr>
              <w:t>Y / N</w:t>
            </w:r>
          </w:p>
        </w:tc>
        <w:tc>
          <w:tcPr>
            <w:tcW w:w="2268" w:type="dxa"/>
            <w:shd w:val="clear" w:color="auto" w:fill="D9F2D0" w:themeFill="accent6" w:themeFillTint="33"/>
            <w:vAlign w:val="center"/>
          </w:tcPr>
          <w:p w14:paraId="3FE3C0C8" w14:textId="60FC7C72" w:rsidR="0099297D" w:rsidRPr="003F53B9" w:rsidRDefault="0099297D" w:rsidP="003F53B9">
            <w:pPr>
              <w:jc w:val="center"/>
              <w:rPr>
                <w:rFonts w:ascii="Calibri" w:eastAsia="Calibri" w:hAnsi="Calibri" w:cs="Calibri"/>
                <w:b/>
                <w:bCs/>
                <w:sz w:val="24"/>
                <w:szCs w:val="24"/>
              </w:rPr>
            </w:pPr>
            <w:r w:rsidRPr="003F53B9">
              <w:rPr>
                <w:rFonts w:ascii="Calibri" w:eastAsia="Calibri" w:hAnsi="Calibri" w:cs="Calibri"/>
                <w:b/>
                <w:bCs/>
                <w:sz w:val="24"/>
                <w:szCs w:val="24"/>
              </w:rPr>
              <w:t>Note</w:t>
            </w:r>
            <w:r w:rsidR="009C7EB8" w:rsidRPr="003F53B9">
              <w:rPr>
                <w:rFonts w:ascii="Calibri" w:eastAsia="Calibri" w:hAnsi="Calibri" w:cs="Calibri"/>
                <w:b/>
                <w:bCs/>
                <w:sz w:val="24"/>
                <w:szCs w:val="24"/>
              </w:rPr>
              <w:t>s</w:t>
            </w:r>
            <w:r w:rsidRPr="003F53B9">
              <w:rPr>
                <w:rFonts w:ascii="Calibri" w:eastAsia="Calibri" w:hAnsi="Calibri" w:cs="Calibri"/>
                <w:b/>
                <w:bCs/>
                <w:sz w:val="24"/>
                <w:szCs w:val="24"/>
              </w:rPr>
              <w:t xml:space="preserve"> to adviser / Question</w:t>
            </w:r>
            <w:r w:rsidR="009C7EB8" w:rsidRPr="003F53B9">
              <w:rPr>
                <w:rFonts w:ascii="Calibri" w:eastAsia="Calibri" w:hAnsi="Calibri" w:cs="Calibri"/>
                <w:b/>
                <w:bCs/>
                <w:sz w:val="24"/>
                <w:szCs w:val="24"/>
              </w:rPr>
              <w:t>s</w:t>
            </w:r>
          </w:p>
        </w:tc>
      </w:tr>
      <w:tr w:rsidR="00F520AE" w:rsidRPr="0099297D" w14:paraId="2646DB6D" w14:textId="77777777" w:rsidTr="003F53B9">
        <w:trPr>
          <w:trHeight w:val="1516"/>
        </w:trPr>
        <w:tc>
          <w:tcPr>
            <w:tcW w:w="2269" w:type="dxa"/>
          </w:tcPr>
          <w:p w14:paraId="461AD79B" w14:textId="77777777" w:rsidR="00F520AE" w:rsidRPr="00677FE4" w:rsidRDefault="00F520AE" w:rsidP="0099297D">
            <w:pPr>
              <w:rPr>
                <w:rFonts w:asciiTheme="majorHAnsi" w:eastAsia="Calibri" w:hAnsiTheme="majorHAnsi" w:cs="Calibri"/>
                <w:b/>
                <w:bCs/>
                <w:color w:val="0070C0"/>
                <w:u w:val="single"/>
              </w:rPr>
            </w:pPr>
          </w:p>
          <w:p w14:paraId="4F14ED6A" w14:textId="5C266DB2" w:rsidR="00F520AE" w:rsidRPr="00677FE4" w:rsidRDefault="00F520AE" w:rsidP="0099297D">
            <w:pPr>
              <w:rPr>
                <w:rFonts w:asciiTheme="majorHAnsi" w:eastAsia="Calibri" w:hAnsiTheme="majorHAnsi" w:cs="Calibri"/>
                <w:b/>
                <w:bCs/>
                <w:color w:val="0070C0"/>
              </w:rPr>
            </w:pPr>
            <w:hyperlink r:id="rId6" w:history="1">
              <w:r w:rsidRPr="00677FE4">
                <w:rPr>
                  <w:rStyle w:val="Hyperlink"/>
                  <w:rFonts w:asciiTheme="majorHAnsi" w:eastAsia="Calibri" w:hAnsiTheme="majorHAnsi" w:cs="Calibri"/>
                  <w:b/>
                  <w:bCs/>
                  <w:color w:val="0070C0"/>
                </w:rPr>
                <w:t>Sustai</w:t>
              </w:r>
              <w:r w:rsidRPr="00677FE4">
                <w:rPr>
                  <w:rStyle w:val="Hyperlink"/>
                  <w:rFonts w:asciiTheme="majorHAnsi" w:eastAsia="Calibri" w:hAnsiTheme="majorHAnsi" w:cs="Calibri"/>
                  <w:b/>
                  <w:bCs/>
                  <w:color w:val="0070C0"/>
                </w:rPr>
                <w:t>n</w:t>
              </w:r>
              <w:r w:rsidRPr="00677FE4">
                <w:rPr>
                  <w:rStyle w:val="Hyperlink"/>
                  <w:rFonts w:asciiTheme="majorHAnsi" w:eastAsia="Calibri" w:hAnsiTheme="majorHAnsi" w:cs="Calibri"/>
                  <w:b/>
                  <w:bCs/>
                  <w:color w:val="0070C0"/>
                </w:rPr>
                <w:t>ab</w:t>
              </w:r>
              <w:r w:rsidR="0059196F" w:rsidRPr="00677FE4">
                <w:rPr>
                  <w:rStyle w:val="Hyperlink"/>
                  <w:rFonts w:asciiTheme="majorHAnsi" w:eastAsia="Calibri" w:hAnsiTheme="majorHAnsi" w:cs="Calibri"/>
                  <w:b/>
                  <w:bCs/>
                  <w:color w:val="0070C0"/>
                </w:rPr>
                <w:t>le Style Fu</w:t>
              </w:r>
              <w:r w:rsidRPr="00677FE4">
                <w:rPr>
                  <w:rStyle w:val="Hyperlink"/>
                  <w:rFonts w:asciiTheme="majorHAnsi" w:eastAsia="Calibri" w:hAnsiTheme="majorHAnsi" w:cs="Calibri"/>
                  <w:b/>
                  <w:bCs/>
                  <w:color w:val="0070C0"/>
                </w:rPr>
                <w:t>nds</w:t>
              </w:r>
            </w:hyperlink>
          </w:p>
        </w:tc>
        <w:tc>
          <w:tcPr>
            <w:tcW w:w="4536" w:type="dxa"/>
          </w:tcPr>
          <w:p w14:paraId="58D45DDF" w14:textId="77777777" w:rsidR="00F520AE" w:rsidRPr="00F520AE" w:rsidRDefault="00F520AE" w:rsidP="00F520AE">
            <w:pPr>
              <w:jc w:val="both"/>
              <w:rPr>
                <w:rFonts w:ascii="Calibri" w:hAnsi="Calibri" w:cs="Calibri"/>
                <w:sz w:val="12"/>
                <w:szCs w:val="12"/>
              </w:rPr>
            </w:pPr>
          </w:p>
          <w:p w14:paraId="70E4CE73" w14:textId="0C474B3D" w:rsidR="00F520AE" w:rsidRPr="0059196F" w:rsidRDefault="0059196F" w:rsidP="0059196F">
            <w:pPr>
              <w:jc w:val="both"/>
              <w:rPr>
                <w:rFonts w:ascii="Calibri" w:eastAsia="Calibri" w:hAnsi="Calibri" w:cs="Calibri"/>
                <w:sz w:val="20"/>
                <w:szCs w:val="20"/>
              </w:rPr>
            </w:pPr>
            <w:r w:rsidRPr="0059196F">
              <w:rPr>
                <w:rFonts w:ascii="Calibri" w:eastAsia="Calibri" w:hAnsi="Calibri" w:cs="Calibri"/>
                <w:sz w:val="20"/>
                <w:szCs w:val="20"/>
              </w:rPr>
              <w:t xml:space="preserve">Sustainable </w:t>
            </w:r>
            <w:r>
              <w:rPr>
                <w:rFonts w:ascii="Calibri" w:eastAsia="Calibri" w:hAnsi="Calibri" w:cs="Calibri"/>
                <w:sz w:val="20"/>
                <w:szCs w:val="20"/>
              </w:rPr>
              <w:t xml:space="preserve">Style funds </w:t>
            </w:r>
            <w:r w:rsidRPr="0059196F">
              <w:rPr>
                <w:rFonts w:ascii="Calibri" w:eastAsia="Calibri" w:hAnsi="Calibri" w:cs="Calibri"/>
                <w:sz w:val="20"/>
                <w:szCs w:val="20"/>
              </w:rPr>
              <w:t>focus significantly on (environmental and social) sustainability issues, opportunities and themes when selecting investments. These funds tend to have forward looking strategies, favouring companies and other assets that show ‘sustainability leadership’, are ‘solutions companies</w:t>
            </w:r>
            <w:proofErr w:type="gramStart"/>
            <w:r w:rsidRPr="0059196F">
              <w:rPr>
                <w:rFonts w:ascii="Calibri" w:eastAsia="Calibri" w:hAnsi="Calibri" w:cs="Calibri"/>
                <w:sz w:val="20"/>
                <w:szCs w:val="20"/>
              </w:rPr>
              <w:t>’  or</w:t>
            </w:r>
            <w:proofErr w:type="gramEnd"/>
            <w:r w:rsidRPr="0059196F">
              <w:rPr>
                <w:rFonts w:ascii="Calibri" w:eastAsia="Calibri" w:hAnsi="Calibri" w:cs="Calibri"/>
                <w:sz w:val="20"/>
                <w:szCs w:val="20"/>
              </w:rPr>
              <w:t xml:space="preserve"> are helping to facilitate the ‘transition’ to more sustainable lifestyles. They may also have ‘ethical’ exclusion criteria and encourage positive change through stewardship activity.</w:t>
            </w:r>
          </w:p>
        </w:tc>
        <w:tc>
          <w:tcPr>
            <w:tcW w:w="851" w:type="dxa"/>
          </w:tcPr>
          <w:p w14:paraId="14D114E8" w14:textId="77777777" w:rsidR="00F520AE" w:rsidRPr="0099297D" w:rsidRDefault="00F520AE" w:rsidP="0099297D">
            <w:pPr>
              <w:rPr>
                <w:rFonts w:ascii="Calibri" w:eastAsia="Calibri" w:hAnsi="Calibri" w:cs="Calibri"/>
                <w:sz w:val="20"/>
                <w:szCs w:val="20"/>
              </w:rPr>
            </w:pPr>
          </w:p>
        </w:tc>
        <w:tc>
          <w:tcPr>
            <w:tcW w:w="2268" w:type="dxa"/>
          </w:tcPr>
          <w:p w14:paraId="341BB6F6" w14:textId="77777777" w:rsidR="00F520AE" w:rsidRPr="0099297D" w:rsidRDefault="00F520AE" w:rsidP="0099297D">
            <w:pPr>
              <w:rPr>
                <w:rFonts w:ascii="Calibri" w:eastAsia="Calibri" w:hAnsi="Calibri" w:cs="Calibri"/>
                <w:sz w:val="20"/>
                <w:szCs w:val="20"/>
              </w:rPr>
            </w:pPr>
          </w:p>
        </w:tc>
      </w:tr>
      <w:tr w:rsidR="00F520AE" w:rsidRPr="0099297D" w14:paraId="752F6CF6" w14:textId="77777777" w:rsidTr="003F53B9">
        <w:trPr>
          <w:trHeight w:val="1516"/>
        </w:trPr>
        <w:tc>
          <w:tcPr>
            <w:tcW w:w="2269" w:type="dxa"/>
          </w:tcPr>
          <w:p w14:paraId="1619204F" w14:textId="77777777" w:rsidR="00F520AE" w:rsidRPr="00677FE4" w:rsidRDefault="00F520AE" w:rsidP="0099297D">
            <w:pPr>
              <w:rPr>
                <w:rFonts w:asciiTheme="majorHAnsi" w:eastAsia="Calibri" w:hAnsiTheme="majorHAnsi" w:cs="Calibri"/>
                <w:b/>
                <w:bCs/>
                <w:color w:val="0070C0"/>
              </w:rPr>
            </w:pPr>
          </w:p>
          <w:p w14:paraId="1BCB2A86" w14:textId="4DC18C70" w:rsidR="00F520AE" w:rsidRPr="00677FE4" w:rsidRDefault="00F520AE" w:rsidP="0099297D">
            <w:pPr>
              <w:rPr>
                <w:rFonts w:asciiTheme="majorHAnsi" w:eastAsia="Calibri" w:hAnsiTheme="majorHAnsi" w:cs="Calibri"/>
                <w:b/>
                <w:bCs/>
                <w:color w:val="0070C0"/>
              </w:rPr>
            </w:pPr>
            <w:hyperlink r:id="rId7" w:history="1">
              <w:r w:rsidRPr="00677FE4">
                <w:rPr>
                  <w:rStyle w:val="Hyperlink"/>
                  <w:rFonts w:asciiTheme="majorHAnsi" w:eastAsia="Calibri" w:hAnsiTheme="majorHAnsi" w:cs="Calibri"/>
                  <w:b/>
                  <w:bCs/>
                  <w:color w:val="0070C0"/>
                </w:rPr>
                <w:t>Environmenta</w:t>
              </w:r>
              <w:r w:rsidR="0059196F" w:rsidRPr="00677FE4">
                <w:rPr>
                  <w:rStyle w:val="Hyperlink"/>
                  <w:rFonts w:asciiTheme="majorHAnsi" w:eastAsia="Calibri" w:hAnsiTheme="majorHAnsi" w:cs="Calibri"/>
                  <w:b/>
                  <w:bCs/>
                  <w:color w:val="0070C0"/>
                </w:rPr>
                <w:t xml:space="preserve">l Style </w:t>
              </w:r>
              <w:r w:rsidRPr="00677FE4">
                <w:rPr>
                  <w:rStyle w:val="Hyperlink"/>
                  <w:rFonts w:asciiTheme="majorHAnsi" w:eastAsia="Calibri" w:hAnsiTheme="majorHAnsi" w:cs="Calibri"/>
                  <w:b/>
                  <w:bCs/>
                  <w:color w:val="0070C0"/>
                </w:rPr>
                <w:t>Funds</w:t>
              </w:r>
            </w:hyperlink>
          </w:p>
        </w:tc>
        <w:tc>
          <w:tcPr>
            <w:tcW w:w="4536" w:type="dxa"/>
          </w:tcPr>
          <w:p w14:paraId="5EB407EE" w14:textId="77777777" w:rsidR="00F520AE" w:rsidRPr="00F520AE" w:rsidRDefault="00F520AE" w:rsidP="00F520AE">
            <w:pPr>
              <w:jc w:val="both"/>
              <w:rPr>
                <w:rFonts w:ascii="Calibri" w:hAnsi="Calibri" w:cs="Calibri"/>
                <w:b/>
                <w:bCs/>
                <w:sz w:val="12"/>
                <w:szCs w:val="12"/>
              </w:rPr>
            </w:pPr>
          </w:p>
          <w:p w14:paraId="5C2B1B50" w14:textId="5B1A3FD5" w:rsidR="00F520AE" w:rsidRPr="00F520AE" w:rsidRDefault="0059196F" w:rsidP="0059196F">
            <w:pPr>
              <w:jc w:val="both"/>
              <w:rPr>
                <w:rFonts w:ascii="Calibri" w:eastAsia="Calibri" w:hAnsi="Calibri" w:cs="Calibri"/>
                <w:sz w:val="12"/>
                <w:szCs w:val="12"/>
              </w:rPr>
            </w:pPr>
            <w:r>
              <w:rPr>
                <w:rFonts w:ascii="Calibri" w:eastAsia="Calibri" w:hAnsi="Calibri" w:cs="Calibri"/>
                <w:sz w:val="20"/>
                <w:szCs w:val="20"/>
              </w:rPr>
              <w:t xml:space="preserve">Environmental Style Funds </w:t>
            </w:r>
            <w:r w:rsidRPr="0059196F">
              <w:rPr>
                <w:rFonts w:ascii="Calibri" w:eastAsia="Calibri" w:hAnsi="Calibri" w:cs="Calibri"/>
                <w:sz w:val="20"/>
                <w:szCs w:val="20"/>
              </w:rPr>
              <w:t>significantly integrate environmental issues into investment strategies. Their focus is often around longer term environmental and resource related issues, risks and opportunities. Some funds are very broad, others focus on a single issue, industry or resource. They may have ‘ethical’ exclusion criteria and also encourage positive change through stewardship activity</w:t>
            </w:r>
            <w:r w:rsidRPr="0059196F">
              <w:rPr>
                <w:rFonts w:ascii="Calibri" w:eastAsia="Calibri" w:hAnsi="Calibri" w:cs="Calibri"/>
                <w:sz w:val="12"/>
                <w:szCs w:val="12"/>
              </w:rPr>
              <w:t>.</w:t>
            </w:r>
          </w:p>
        </w:tc>
        <w:tc>
          <w:tcPr>
            <w:tcW w:w="851" w:type="dxa"/>
          </w:tcPr>
          <w:p w14:paraId="7CC3B496" w14:textId="77777777" w:rsidR="00F520AE" w:rsidRPr="0099297D" w:rsidRDefault="00F520AE" w:rsidP="0099297D">
            <w:pPr>
              <w:rPr>
                <w:rFonts w:ascii="Calibri" w:eastAsia="Calibri" w:hAnsi="Calibri" w:cs="Calibri"/>
                <w:sz w:val="20"/>
                <w:szCs w:val="20"/>
              </w:rPr>
            </w:pPr>
          </w:p>
        </w:tc>
        <w:tc>
          <w:tcPr>
            <w:tcW w:w="2268" w:type="dxa"/>
          </w:tcPr>
          <w:p w14:paraId="7AF3C73D" w14:textId="77777777" w:rsidR="00F520AE" w:rsidRPr="0099297D" w:rsidRDefault="00F520AE" w:rsidP="0099297D">
            <w:pPr>
              <w:rPr>
                <w:rFonts w:ascii="Calibri" w:eastAsia="Calibri" w:hAnsi="Calibri" w:cs="Calibri"/>
                <w:sz w:val="20"/>
                <w:szCs w:val="20"/>
              </w:rPr>
            </w:pPr>
          </w:p>
        </w:tc>
      </w:tr>
      <w:tr w:rsidR="009C7EB8" w:rsidRPr="0099297D" w14:paraId="79B6672D" w14:textId="77777777" w:rsidTr="003F53B9">
        <w:trPr>
          <w:trHeight w:val="1516"/>
        </w:trPr>
        <w:tc>
          <w:tcPr>
            <w:tcW w:w="2269" w:type="dxa"/>
          </w:tcPr>
          <w:p w14:paraId="3055A64C" w14:textId="77777777" w:rsidR="00F520AE" w:rsidRPr="00677FE4" w:rsidRDefault="00F520AE" w:rsidP="0099297D">
            <w:pPr>
              <w:rPr>
                <w:rFonts w:asciiTheme="majorHAnsi" w:eastAsia="Calibri" w:hAnsiTheme="majorHAnsi" w:cs="Calibri"/>
                <w:b/>
                <w:bCs/>
                <w:color w:val="0070C0"/>
                <w:u w:val="single"/>
              </w:rPr>
            </w:pPr>
          </w:p>
          <w:p w14:paraId="607505F3" w14:textId="5FA2E877" w:rsidR="0099297D" w:rsidRPr="00677FE4" w:rsidRDefault="00F520AE" w:rsidP="0099297D">
            <w:pPr>
              <w:rPr>
                <w:rFonts w:asciiTheme="majorHAnsi" w:eastAsia="Calibri" w:hAnsiTheme="majorHAnsi" w:cs="Calibri"/>
                <w:b/>
                <w:bCs/>
                <w:color w:val="0070C0"/>
              </w:rPr>
            </w:pPr>
            <w:hyperlink r:id="rId8" w:history="1">
              <w:r w:rsidRPr="00677FE4">
                <w:rPr>
                  <w:rStyle w:val="Hyperlink"/>
                  <w:rFonts w:asciiTheme="majorHAnsi" w:eastAsia="Calibri" w:hAnsiTheme="majorHAnsi" w:cs="Calibri"/>
                  <w:b/>
                  <w:bCs/>
                  <w:color w:val="0070C0"/>
                </w:rPr>
                <w:t>Social</w:t>
              </w:r>
              <w:r w:rsidR="0059196F" w:rsidRPr="00677FE4">
                <w:rPr>
                  <w:rStyle w:val="Hyperlink"/>
                  <w:rFonts w:asciiTheme="majorHAnsi" w:eastAsia="Calibri" w:hAnsiTheme="majorHAnsi" w:cs="Calibri"/>
                  <w:b/>
                  <w:bCs/>
                  <w:color w:val="0070C0"/>
                </w:rPr>
                <w:t xml:space="preserve"> Style</w:t>
              </w:r>
              <w:r w:rsidRPr="00677FE4">
                <w:rPr>
                  <w:rStyle w:val="Hyperlink"/>
                  <w:rFonts w:asciiTheme="majorHAnsi" w:eastAsia="Calibri" w:hAnsiTheme="majorHAnsi" w:cs="Calibri"/>
                  <w:b/>
                  <w:bCs/>
                  <w:color w:val="0070C0"/>
                </w:rPr>
                <w:t xml:space="preserve"> </w:t>
              </w:r>
              <w:r w:rsidR="0059196F" w:rsidRPr="00677FE4">
                <w:rPr>
                  <w:rStyle w:val="Hyperlink"/>
                  <w:rFonts w:asciiTheme="majorHAnsi" w:eastAsia="Calibri" w:hAnsiTheme="majorHAnsi" w:cs="Calibri"/>
                  <w:b/>
                  <w:bCs/>
                  <w:color w:val="0070C0"/>
                </w:rPr>
                <w:t>Fu</w:t>
              </w:r>
              <w:r w:rsidRPr="00677FE4">
                <w:rPr>
                  <w:rStyle w:val="Hyperlink"/>
                  <w:rFonts w:asciiTheme="majorHAnsi" w:eastAsia="Calibri" w:hAnsiTheme="majorHAnsi" w:cs="Calibri"/>
                  <w:b/>
                  <w:bCs/>
                  <w:color w:val="0070C0"/>
                </w:rPr>
                <w:t>nds</w:t>
              </w:r>
            </w:hyperlink>
          </w:p>
        </w:tc>
        <w:tc>
          <w:tcPr>
            <w:tcW w:w="4536" w:type="dxa"/>
          </w:tcPr>
          <w:p w14:paraId="11BF6F5F" w14:textId="77777777" w:rsidR="00F520AE" w:rsidRPr="00F520AE" w:rsidRDefault="00F520AE" w:rsidP="00F520AE">
            <w:pPr>
              <w:jc w:val="both"/>
              <w:rPr>
                <w:rFonts w:ascii="Calibri" w:hAnsi="Calibri" w:cs="Calibri"/>
                <w:b/>
                <w:bCs/>
                <w:sz w:val="12"/>
                <w:szCs w:val="12"/>
              </w:rPr>
            </w:pPr>
          </w:p>
          <w:p w14:paraId="468C5DDF" w14:textId="2867B30A" w:rsidR="00F520AE" w:rsidRPr="0059196F" w:rsidRDefault="00F520AE" w:rsidP="0059196F">
            <w:pPr>
              <w:jc w:val="both"/>
              <w:rPr>
                <w:rFonts w:ascii="Calibri" w:eastAsia="Calibri" w:hAnsi="Calibri" w:cs="Calibri"/>
                <w:sz w:val="20"/>
                <w:szCs w:val="20"/>
              </w:rPr>
            </w:pPr>
            <w:hyperlink r:id="rId9" w:tgtFrame="_blank" w:history="1">
              <w:r w:rsidR="0059196F" w:rsidRPr="0059196F">
                <w:rPr>
                  <w:rStyle w:val="Strong"/>
                  <w:rFonts w:ascii="Calibri" w:hAnsi="Calibri" w:cs="Calibri"/>
                  <w:b w:val="0"/>
                  <w:bCs w:val="0"/>
                  <w:sz w:val="20"/>
                  <w:szCs w:val="20"/>
                </w:rPr>
                <w:t>Social Style funds</w:t>
              </w:r>
              <w:r w:rsidRPr="0059196F">
                <w:rPr>
                  <w:rStyle w:val="Hyperlink"/>
                  <w:rFonts w:ascii="Calibri" w:hAnsi="Calibri" w:cs="Calibri"/>
                  <w:b/>
                  <w:bCs/>
                  <w:color w:val="auto"/>
                  <w:sz w:val="20"/>
                  <w:szCs w:val="20"/>
                  <w:u w:val="none"/>
                </w:rPr>
                <w:t xml:space="preserve"> </w:t>
              </w:r>
            </w:hyperlink>
            <w:r w:rsidR="0059196F" w:rsidRPr="0059196F">
              <w:rPr>
                <w:rFonts w:ascii="Calibri" w:hAnsi="Calibri" w:cs="Calibri"/>
                <w:sz w:val="20"/>
                <w:szCs w:val="20"/>
              </w:rPr>
              <w:t xml:space="preserve">focus on ‘people issues’, investing in assets that help to address social challenges such as employment, education, housing and other basic necessities of life. Strategies </w:t>
            </w:r>
            <w:proofErr w:type="gramStart"/>
            <w:r w:rsidR="0059196F" w:rsidRPr="0059196F">
              <w:rPr>
                <w:rFonts w:ascii="Calibri" w:hAnsi="Calibri" w:cs="Calibri"/>
                <w:sz w:val="20"/>
                <w:szCs w:val="20"/>
              </w:rPr>
              <w:t>vary,</w:t>
            </w:r>
            <w:proofErr w:type="gramEnd"/>
            <w:r w:rsidR="0059196F" w:rsidRPr="0059196F">
              <w:rPr>
                <w:rFonts w:ascii="Calibri" w:hAnsi="Calibri" w:cs="Calibri"/>
                <w:sz w:val="20"/>
                <w:szCs w:val="20"/>
              </w:rPr>
              <w:t xml:space="preserve"> some invest in an individual sector others invest more broadly.</w:t>
            </w:r>
          </w:p>
        </w:tc>
        <w:tc>
          <w:tcPr>
            <w:tcW w:w="851" w:type="dxa"/>
          </w:tcPr>
          <w:p w14:paraId="11FA0F21" w14:textId="77777777" w:rsidR="0099297D" w:rsidRPr="0099297D" w:rsidRDefault="0099297D" w:rsidP="0099297D">
            <w:pPr>
              <w:rPr>
                <w:rFonts w:ascii="Calibri" w:eastAsia="Calibri" w:hAnsi="Calibri" w:cs="Calibri"/>
                <w:sz w:val="20"/>
                <w:szCs w:val="20"/>
              </w:rPr>
            </w:pPr>
          </w:p>
        </w:tc>
        <w:tc>
          <w:tcPr>
            <w:tcW w:w="2268" w:type="dxa"/>
          </w:tcPr>
          <w:p w14:paraId="412313AB" w14:textId="77777777" w:rsidR="0099297D" w:rsidRPr="0099297D" w:rsidRDefault="0099297D" w:rsidP="0099297D">
            <w:pPr>
              <w:rPr>
                <w:rFonts w:ascii="Calibri" w:eastAsia="Calibri" w:hAnsi="Calibri" w:cs="Calibri"/>
                <w:sz w:val="20"/>
                <w:szCs w:val="20"/>
              </w:rPr>
            </w:pPr>
          </w:p>
        </w:tc>
      </w:tr>
      <w:tr w:rsidR="00F520AE" w:rsidRPr="0099297D" w14:paraId="46C7BB5A" w14:textId="77777777" w:rsidTr="003F53B9">
        <w:tc>
          <w:tcPr>
            <w:tcW w:w="2269" w:type="dxa"/>
          </w:tcPr>
          <w:p w14:paraId="08AB361A" w14:textId="77777777" w:rsidR="00F520AE" w:rsidRPr="00677FE4" w:rsidRDefault="00F520AE" w:rsidP="0099297D">
            <w:pPr>
              <w:rPr>
                <w:rFonts w:asciiTheme="majorHAnsi" w:eastAsia="Calibri" w:hAnsiTheme="majorHAnsi" w:cs="Calibri"/>
                <w:b/>
                <w:bCs/>
                <w:color w:val="0070C0"/>
              </w:rPr>
            </w:pPr>
          </w:p>
          <w:p w14:paraId="4B67ED67" w14:textId="6CC0867A" w:rsidR="00F520AE" w:rsidRPr="00677FE4" w:rsidRDefault="00F520AE" w:rsidP="0099297D">
            <w:pPr>
              <w:rPr>
                <w:rFonts w:asciiTheme="majorHAnsi" w:eastAsia="Calibri" w:hAnsiTheme="majorHAnsi" w:cs="Calibri"/>
                <w:b/>
                <w:bCs/>
                <w:color w:val="0070C0"/>
                <w:u w:val="single"/>
              </w:rPr>
            </w:pPr>
            <w:hyperlink r:id="rId10" w:history="1">
              <w:r w:rsidRPr="00677FE4">
                <w:rPr>
                  <w:rStyle w:val="Hyperlink"/>
                  <w:rFonts w:asciiTheme="majorHAnsi" w:eastAsia="Calibri" w:hAnsiTheme="majorHAnsi" w:cs="Calibri"/>
                  <w:b/>
                  <w:bCs/>
                  <w:color w:val="0070C0"/>
                </w:rPr>
                <w:t>Ethical</w:t>
              </w:r>
              <w:r w:rsidR="0059196F" w:rsidRPr="00677FE4">
                <w:rPr>
                  <w:rStyle w:val="Hyperlink"/>
                  <w:rFonts w:asciiTheme="majorHAnsi" w:eastAsia="Calibri" w:hAnsiTheme="majorHAnsi" w:cs="Calibri"/>
                  <w:b/>
                  <w:bCs/>
                  <w:color w:val="0070C0"/>
                </w:rPr>
                <w:t xml:space="preserve"> Style</w:t>
              </w:r>
              <w:r w:rsidRPr="00677FE4">
                <w:rPr>
                  <w:rStyle w:val="Hyperlink"/>
                  <w:rFonts w:asciiTheme="majorHAnsi" w:eastAsia="Calibri" w:hAnsiTheme="majorHAnsi" w:cs="Calibri"/>
                  <w:b/>
                  <w:bCs/>
                  <w:color w:val="0070C0"/>
                </w:rPr>
                <w:t xml:space="preserve"> Funds</w:t>
              </w:r>
            </w:hyperlink>
            <w:r w:rsidR="0059196F" w:rsidRPr="00677FE4">
              <w:rPr>
                <w:rFonts w:asciiTheme="majorHAnsi" w:hAnsiTheme="majorHAnsi"/>
                <w:b/>
                <w:bCs/>
                <w:color w:val="0070C0"/>
              </w:rPr>
              <w:t xml:space="preserve"> </w:t>
            </w:r>
          </w:p>
        </w:tc>
        <w:tc>
          <w:tcPr>
            <w:tcW w:w="4536" w:type="dxa"/>
          </w:tcPr>
          <w:p w14:paraId="687FB178" w14:textId="77777777" w:rsidR="00F520AE" w:rsidRPr="00F520AE" w:rsidRDefault="00F520AE" w:rsidP="00F520AE">
            <w:pPr>
              <w:jc w:val="both"/>
              <w:rPr>
                <w:rFonts w:ascii="Calibri" w:eastAsia="Calibri" w:hAnsi="Calibri" w:cs="Calibri"/>
                <w:sz w:val="12"/>
                <w:szCs w:val="12"/>
              </w:rPr>
            </w:pPr>
          </w:p>
          <w:p w14:paraId="3AD8A6C9" w14:textId="28DE171A" w:rsidR="00F520AE" w:rsidRPr="0099297D" w:rsidRDefault="00F520AE" w:rsidP="00F520AE">
            <w:pPr>
              <w:jc w:val="both"/>
              <w:rPr>
                <w:rFonts w:ascii="Calibri" w:eastAsia="Calibri" w:hAnsi="Calibri" w:cs="Calibri"/>
                <w:sz w:val="20"/>
                <w:szCs w:val="20"/>
              </w:rPr>
            </w:pPr>
            <w:r w:rsidRPr="00F520AE">
              <w:rPr>
                <w:rFonts w:ascii="Calibri" w:eastAsia="Calibri" w:hAnsi="Calibri" w:cs="Calibri"/>
                <w:sz w:val="20"/>
                <w:szCs w:val="20"/>
              </w:rPr>
              <w:t xml:space="preserve">These funds </w:t>
            </w:r>
            <w:r w:rsidR="0059196F" w:rsidRPr="0059196F">
              <w:rPr>
                <w:rFonts w:ascii="Calibri" w:eastAsia="Calibri" w:hAnsi="Calibri" w:cs="Calibri"/>
                <w:sz w:val="20"/>
                <w:szCs w:val="20"/>
              </w:rPr>
              <w:t>focus on ‘values based’ issues almost always alongside considering ESG (environmental, social and governance) and sustainability related issues.  These funds set out where they aim to invest and avoid in their published criteria. Some have extensive exclusions others may make more balanced decisions – balancing pros and cons.  The most common exclusions are armaments and tobacco.  Negative screens often operate alongside positive criteria. Strategies vary.  These strategies are often complemented by responsible ownership (stewardship) activity.</w:t>
            </w:r>
          </w:p>
          <w:p w14:paraId="6D0B75A9" w14:textId="77777777" w:rsidR="00F520AE" w:rsidRPr="00F520AE" w:rsidRDefault="00F520AE" w:rsidP="00F520AE">
            <w:pPr>
              <w:jc w:val="both"/>
              <w:rPr>
                <w:rFonts w:ascii="Calibri" w:eastAsia="Calibri" w:hAnsi="Calibri" w:cs="Calibri"/>
                <w:sz w:val="12"/>
                <w:szCs w:val="12"/>
              </w:rPr>
            </w:pPr>
          </w:p>
        </w:tc>
        <w:tc>
          <w:tcPr>
            <w:tcW w:w="851" w:type="dxa"/>
          </w:tcPr>
          <w:p w14:paraId="6BADCE27" w14:textId="77777777" w:rsidR="00F520AE" w:rsidRPr="0099297D" w:rsidRDefault="00F520AE" w:rsidP="0099297D">
            <w:pPr>
              <w:rPr>
                <w:rFonts w:ascii="Calibri" w:eastAsia="Calibri" w:hAnsi="Calibri" w:cs="Calibri"/>
                <w:sz w:val="20"/>
                <w:szCs w:val="20"/>
              </w:rPr>
            </w:pPr>
          </w:p>
        </w:tc>
        <w:tc>
          <w:tcPr>
            <w:tcW w:w="2268" w:type="dxa"/>
          </w:tcPr>
          <w:p w14:paraId="05CA8E74" w14:textId="77777777" w:rsidR="00F520AE" w:rsidRPr="0099297D" w:rsidRDefault="00F520AE" w:rsidP="0099297D">
            <w:pPr>
              <w:rPr>
                <w:rFonts w:ascii="Calibri" w:eastAsia="Calibri" w:hAnsi="Calibri" w:cs="Calibri"/>
                <w:sz w:val="20"/>
                <w:szCs w:val="20"/>
              </w:rPr>
            </w:pPr>
          </w:p>
        </w:tc>
      </w:tr>
      <w:tr w:rsidR="009C7EB8" w:rsidRPr="0099297D" w14:paraId="5410622F" w14:textId="77777777" w:rsidTr="003F53B9">
        <w:tc>
          <w:tcPr>
            <w:tcW w:w="2269" w:type="dxa"/>
          </w:tcPr>
          <w:p w14:paraId="6E615A01" w14:textId="77777777" w:rsidR="00F520AE" w:rsidRPr="00677FE4" w:rsidRDefault="00F520AE" w:rsidP="0099297D">
            <w:pPr>
              <w:rPr>
                <w:rFonts w:asciiTheme="majorHAnsi" w:eastAsia="Calibri" w:hAnsiTheme="majorHAnsi" w:cs="Calibri"/>
                <w:b/>
                <w:bCs/>
                <w:color w:val="0070C0"/>
                <w:u w:val="single"/>
              </w:rPr>
            </w:pPr>
          </w:p>
          <w:p w14:paraId="65A1244E" w14:textId="05C8408F" w:rsidR="0099297D" w:rsidRPr="00677FE4" w:rsidRDefault="0099297D" w:rsidP="0099297D">
            <w:pPr>
              <w:rPr>
                <w:rFonts w:asciiTheme="majorHAnsi" w:eastAsia="Calibri" w:hAnsiTheme="majorHAnsi" w:cs="Calibri"/>
                <w:b/>
                <w:bCs/>
                <w:color w:val="0070C0"/>
              </w:rPr>
            </w:pPr>
            <w:hyperlink r:id="rId11" w:history="1">
              <w:r w:rsidRPr="00677FE4">
                <w:rPr>
                  <w:rStyle w:val="Hyperlink"/>
                  <w:rFonts w:asciiTheme="majorHAnsi" w:eastAsia="Calibri" w:hAnsiTheme="majorHAnsi" w:cs="Calibri"/>
                  <w:b/>
                  <w:bCs/>
                  <w:color w:val="0070C0"/>
                </w:rPr>
                <w:t>Faith Based Funds</w:t>
              </w:r>
            </w:hyperlink>
            <w:r w:rsidRPr="00677FE4">
              <w:rPr>
                <w:rFonts w:asciiTheme="majorHAnsi" w:eastAsia="Calibri" w:hAnsiTheme="majorHAnsi" w:cs="Calibri"/>
                <w:b/>
                <w:bCs/>
                <w:color w:val="0070C0"/>
                <w:u w:val="single"/>
              </w:rPr>
              <w:t xml:space="preserve"> </w:t>
            </w:r>
          </w:p>
        </w:tc>
        <w:tc>
          <w:tcPr>
            <w:tcW w:w="4536" w:type="dxa"/>
          </w:tcPr>
          <w:p w14:paraId="114F915C" w14:textId="77777777" w:rsidR="00F520AE" w:rsidRPr="00F520AE" w:rsidRDefault="00F520AE" w:rsidP="00F520AE">
            <w:pPr>
              <w:jc w:val="both"/>
              <w:rPr>
                <w:rFonts w:ascii="Calibri" w:eastAsia="Calibri" w:hAnsi="Calibri" w:cs="Calibri"/>
                <w:sz w:val="12"/>
                <w:szCs w:val="12"/>
              </w:rPr>
            </w:pPr>
          </w:p>
          <w:p w14:paraId="367BAF15" w14:textId="27C6D113" w:rsidR="0099297D" w:rsidRDefault="0099297D" w:rsidP="00F520AE">
            <w:pPr>
              <w:jc w:val="both"/>
              <w:rPr>
                <w:rFonts w:ascii="Calibri" w:eastAsia="Calibri" w:hAnsi="Calibri" w:cs="Calibri"/>
                <w:sz w:val="20"/>
                <w:szCs w:val="20"/>
              </w:rPr>
            </w:pPr>
            <w:r w:rsidRPr="0099297D">
              <w:rPr>
                <w:rFonts w:ascii="Calibri" w:eastAsia="Calibri" w:hAnsi="Calibri" w:cs="Calibri"/>
                <w:sz w:val="20"/>
                <w:szCs w:val="20"/>
              </w:rPr>
              <w:t xml:space="preserve">Funds that invest in line with specific religious principles </w:t>
            </w:r>
            <w:proofErr w:type="spellStart"/>
            <w:r w:rsidRPr="0099297D">
              <w:rPr>
                <w:rFonts w:ascii="Calibri" w:eastAsia="Calibri" w:hAnsi="Calibri" w:cs="Calibri"/>
                <w:sz w:val="20"/>
                <w:szCs w:val="20"/>
              </w:rPr>
              <w:t>eg</w:t>
            </w:r>
            <w:proofErr w:type="spellEnd"/>
            <w:r w:rsidRPr="0099297D">
              <w:rPr>
                <w:rFonts w:ascii="Calibri" w:eastAsia="Calibri" w:hAnsi="Calibri" w:cs="Calibri"/>
                <w:sz w:val="20"/>
                <w:szCs w:val="20"/>
              </w:rPr>
              <w:t xml:space="preserve"> Shariah Law. (Strategies vary).</w:t>
            </w:r>
          </w:p>
          <w:p w14:paraId="71FAA105" w14:textId="77777777" w:rsidR="00F520AE" w:rsidRPr="0099297D" w:rsidRDefault="00F520AE" w:rsidP="00F520AE">
            <w:pPr>
              <w:jc w:val="both"/>
              <w:rPr>
                <w:rFonts w:ascii="Calibri" w:eastAsia="Calibri" w:hAnsi="Calibri" w:cs="Calibri"/>
                <w:sz w:val="12"/>
                <w:szCs w:val="12"/>
              </w:rPr>
            </w:pPr>
          </w:p>
        </w:tc>
        <w:tc>
          <w:tcPr>
            <w:tcW w:w="851" w:type="dxa"/>
          </w:tcPr>
          <w:p w14:paraId="3700311B" w14:textId="77777777" w:rsidR="0099297D" w:rsidRPr="0099297D" w:rsidRDefault="0099297D" w:rsidP="0099297D">
            <w:pPr>
              <w:rPr>
                <w:rFonts w:ascii="Calibri" w:eastAsia="Calibri" w:hAnsi="Calibri" w:cs="Calibri"/>
                <w:sz w:val="20"/>
                <w:szCs w:val="20"/>
              </w:rPr>
            </w:pPr>
          </w:p>
        </w:tc>
        <w:tc>
          <w:tcPr>
            <w:tcW w:w="2268" w:type="dxa"/>
          </w:tcPr>
          <w:p w14:paraId="1D68AF0E" w14:textId="77777777" w:rsidR="0099297D" w:rsidRPr="0099297D" w:rsidRDefault="0099297D" w:rsidP="0099297D">
            <w:pPr>
              <w:rPr>
                <w:rFonts w:ascii="Calibri" w:eastAsia="Calibri" w:hAnsi="Calibri" w:cs="Calibri"/>
                <w:sz w:val="20"/>
                <w:szCs w:val="20"/>
              </w:rPr>
            </w:pPr>
          </w:p>
        </w:tc>
      </w:tr>
      <w:tr w:rsidR="009C7EB8" w:rsidRPr="0099297D" w14:paraId="5C1DAACD" w14:textId="77777777" w:rsidTr="003F53B9">
        <w:tc>
          <w:tcPr>
            <w:tcW w:w="2269" w:type="dxa"/>
          </w:tcPr>
          <w:p w14:paraId="663AD40B" w14:textId="77777777" w:rsidR="00F520AE" w:rsidRPr="00677FE4" w:rsidRDefault="00F520AE" w:rsidP="0099297D">
            <w:pPr>
              <w:rPr>
                <w:rFonts w:asciiTheme="majorHAnsi" w:eastAsia="Calibri" w:hAnsiTheme="majorHAnsi" w:cs="Calibri"/>
                <w:b/>
                <w:bCs/>
                <w:color w:val="0070C0"/>
                <w:u w:val="single"/>
              </w:rPr>
            </w:pPr>
          </w:p>
          <w:p w14:paraId="67ECF865" w14:textId="444185D9" w:rsidR="0099297D" w:rsidRPr="00677FE4" w:rsidRDefault="0099297D" w:rsidP="0099297D">
            <w:pPr>
              <w:rPr>
                <w:rFonts w:asciiTheme="majorHAnsi" w:eastAsia="Calibri" w:hAnsiTheme="majorHAnsi" w:cs="Calibri"/>
                <w:b/>
                <w:bCs/>
                <w:color w:val="0070C0"/>
                <w:u w:val="single"/>
              </w:rPr>
            </w:pPr>
            <w:hyperlink r:id="rId12" w:history="1">
              <w:r w:rsidRPr="00677FE4">
                <w:rPr>
                  <w:rStyle w:val="Hyperlink"/>
                  <w:rFonts w:asciiTheme="majorHAnsi" w:eastAsia="Calibri" w:hAnsiTheme="majorHAnsi" w:cs="Calibri"/>
                  <w:b/>
                  <w:bCs/>
                  <w:color w:val="0070C0"/>
                </w:rPr>
                <w:t xml:space="preserve">Sustainability Tilt </w:t>
              </w:r>
              <w:r w:rsidR="004F6BC0">
                <w:rPr>
                  <w:rStyle w:val="Hyperlink"/>
                  <w:rFonts w:asciiTheme="majorHAnsi" w:eastAsia="Calibri" w:hAnsiTheme="majorHAnsi" w:cs="Calibri"/>
                  <w:b/>
                  <w:bCs/>
                  <w:color w:val="0070C0"/>
                </w:rPr>
                <w:t>F</w:t>
              </w:r>
              <w:r w:rsidRPr="00677FE4">
                <w:rPr>
                  <w:rStyle w:val="Hyperlink"/>
                  <w:rFonts w:asciiTheme="majorHAnsi" w:eastAsia="Calibri" w:hAnsiTheme="majorHAnsi" w:cs="Calibri"/>
                  <w:b/>
                  <w:bCs/>
                  <w:color w:val="0070C0"/>
                </w:rPr>
                <w:t>unds</w:t>
              </w:r>
            </w:hyperlink>
            <w:r w:rsidRPr="00677FE4">
              <w:rPr>
                <w:rFonts w:asciiTheme="majorHAnsi" w:eastAsia="Calibri" w:hAnsiTheme="majorHAnsi" w:cs="Calibri"/>
                <w:b/>
                <w:bCs/>
                <w:color w:val="0070C0"/>
                <w:u w:val="single"/>
              </w:rPr>
              <w:t xml:space="preserve"> </w:t>
            </w:r>
          </w:p>
        </w:tc>
        <w:tc>
          <w:tcPr>
            <w:tcW w:w="4536" w:type="dxa"/>
          </w:tcPr>
          <w:p w14:paraId="79B9A3F7" w14:textId="77777777" w:rsidR="00F520AE" w:rsidRPr="00F520AE" w:rsidRDefault="00F520AE" w:rsidP="00F520AE">
            <w:pPr>
              <w:jc w:val="both"/>
              <w:rPr>
                <w:rFonts w:ascii="Calibri" w:hAnsi="Calibri" w:cs="Calibri"/>
                <w:b/>
                <w:bCs/>
                <w:sz w:val="12"/>
                <w:szCs w:val="12"/>
              </w:rPr>
            </w:pPr>
          </w:p>
          <w:p w14:paraId="4F78ECAA" w14:textId="79E5A360" w:rsidR="0099297D" w:rsidRPr="00F520AE" w:rsidRDefault="0099297D" w:rsidP="00F520AE">
            <w:pPr>
              <w:jc w:val="both"/>
              <w:rPr>
                <w:rFonts w:ascii="Calibri" w:eastAsia="Calibri" w:hAnsi="Calibri" w:cs="Calibri"/>
                <w:sz w:val="20"/>
                <w:szCs w:val="20"/>
              </w:rPr>
            </w:pPr>
            <w:hyperlink r:id="rId13" w:history="1">
              <w:r w:rsidRPr="00F520AE">
                <w:rPr>
                  <w:rStyle w:val="Strong"/>
                  <w:rFonts w:ascii="Calibri" w:hAnsi="Calibri" w:cs="Calibri"/>
                  <w:b w:val="0"/>
                  <w:bCs w:val="0"/>
                  <w:sz w:val="20"/>
                  <w:szCs w:val="20"/>
                </w:rPr>
                <w:t xml:space="preserve">Sustainability Tilted funds </w:t>
              </w:r>
            </w:hyperlink>
            <w:r w:rsidRPr="00F520AE">
              <w:rPr>
                <w:rFonts w:ascii="Calibri" w:hAnsi="Calibri" w:cs="Calibri"/>
                <w:sz w:val="20"/>
                <w:szCs w:val="20"/>
              </w:rPr>
              <w:t xml:space="preserve">integrate (environmental and social) sustainability considerations into their investment processes, favouring – being ‘overweight’ in – companies the managers believe have higher standards and being ‘underweight’ (invested less in) companies with lower sustainability standards. This means they are likely to invest in almost all types of </w:t>
            </w:r>
            <w:r w:rsidRPr="00F520AE">
              <w:rPr>
                <w:rFonts w:ascii="Calibri" w:hAnsi="Calibri" w:cs="Calibri"/>
                <w:sz w:val="20"/>
                <w:szCs w:val="20"/>
              </w:rPr>
              <w:lastRenderedPageBreak/>
              <w:t>companies – potentially including assets some clients will view as controversial. They may also have ‘ethical’ exclusion criteria that remove certain companies or asset types. They may also encourage positive change through stewardship activity – to a greater or lesser extent.</w:t>
            </w:r>
          </w:p>
          <w:p w14:paraId="3463C2D5" w14:textId="77777777" w:rsidR="0099297D" w:rsidRPr="0099297D" w:rsidRDefault="0099297D" w:rsidP="0099297D">
            <w:pPr>
              <w:rPr>
                <w:rFonts w:ascii="Calibri" w:eastAsia="Calibri" w:hAnsi="Calibri" w:cs="Calibri"/>
                <w:sz w:val="12"/>
                <w:szCs w:val="12"/>
              </w:rPr>
            </w:pPr>
          </w:p>
        </w:tc>
        <w:tc>
          <w:tcPr>
            <w:tcW w:w="851" w:type="dxa"/>
          </w:tcPr>
          <w:p w14:paraId="72362F7B" w14:textId="77777777" w:rsidR="0099297D" w:rsidRPr="0099297D" w:rsidRDefault="0099297D" w:rsidP="0099297D">
            <w:pPr>
              <w:rPr>
                <w:rFonts w:ascii="Calibri" w:eastAsia="Calibri" w:hAnsi="Calibri" w:cs="Calibri"/>
                <w:sz w:val="20"/>
                <w:szCs w:val="20"/>
              </w:rPr>
            </w:pPr>
          </w:p>
        </w:tc>
        <w:tc>
          <w:tcPr>
            <w:tcW w:w="2268" w:type="dxa"/>
          </w:tcPr>
          <w:p w14:paraId="23C8742D" w14:textId="77777777" w:rsidR="0099297D" w:rsidRPr="0099297D" w:rsidRDefault="0099297D" w:rsidP="0099297D">
            <w:pPr>
              <w:rPr>
                <w:rFonts w:ascii="Calibri" w:eastAsia="Calibri" w:hAnsi="Calibri" w:cs="Calibri"/>
                <w:sz w:val="20"/>
                <w:szCs w:val="20"/>
              </w:rPr>
            </w:pPr>
          </w:p>
        </w:tc>
      </w:tr>
      <w:tr w:rsidR="009C7EB8" w:rsidRPr="0099297D" w14:paraId="4B297CF4" w14:textId="77777777" w:rsidTr="003F53B9">
        <w:tc>
          <w:tcPr>
            <w:tcW w:w="2269" w:type="dxa"/>
          </w:tcPr>
          <w:p w14:paraId="248CC418" w14:textId="77777777" w:rsidR="00F520AE" w:rsidRPr="00677FE4" w:rsidRDefault="00F520AE" w:rsidP="0099297D">
            <w:pPr>
              <w:rPr>
                <w:rFonts w:ascii="Calibri" w:eastAsia="Calibri" w:hAnsi="Calibri" w:cs="Calibri"/>
                <w:b/>
                <w:bCs/>
                <w:color w:val="0070C0"/>
                <w:sz w:val="12"/>
                <w:szCs w:val="12"/>
                <w:u w:val="single"/>
              </w:rPr>
            </w:pPr>
          </w:p>
          <w:p w14:paraId="11ECCA7C" w14:textId="61D431F1" w:rsidR="0099297D" w:rsidRPr="00677FE4" w:rsidRDefault="0099297D" w:rsidP="0099297D">
            <w:pPr>
              <w:rPr>
                <w:rFonts w:asciiTheme="majorHAnsi" w:eastAsia="Calibri" w:hAnsiTheme="majorHAnsi" w:cs="Calibri"/>
                <w:b/>
                <w:bCs/>
                <w:color w:val="0070C0"/>
              </w:rPr>
            </w:pPr>
            <w:hyperlink r:id="rId14" w:history="1">
              <w:r w:rsidRPr="00677FE4">
                <w:rPr>
                  <w:rStyle w:val="Hyperlink"/>
                  <w:rFonts w:asciiTheme="majorHAnsi" w:eastAsia="Calibri" w:hAnsiTheme="majorHAnsi" w:cs="Calibri"/>
                  <w:b/>
                  <w:bCs/>
                  <w:color w:val="0070C0"/>
                </w:rPr>
                <w:t>ESG Plus funds</w:t>
              </w:r>
            </w:hyperlink>
          </w:p>
        </w:tc>
        <w:tc>
          <w:tcPr>
            <w:tcW w:w="4536" w:type="dxa"/>
          </w:tcPr>
          <w:p w14:paraId="36DAEBD4" w14:textId="77777777" w:rsidR="00F520AE" w:rsidRPr="00F520AE" w:rsidRDefault="00F520AE" w:rsidP="00F520AE">
            <w:pPr>
              <w:jc w:val="both"/>
              <w:rPr>
                <w:rFonts w:ascii="Calibri" w:hAnsi="Calibri" w:cs="Calibri"/>
                <w:sz w:val="12"/>
                <w:szCs w:val="12"/>
              </w:rPr>
            </w:pPr>
          </w:p>
          <w:p w14:paraId="1E5A5B41" w14:textId="6DE5315E" w:rsidR="0099297D" w:rsidRPr="00677FE4" w:rsidRDefault="00677FE4" w:rsidP="00F520AE">
            <w:pPr>
              <w:jc w:val="both"/>
              <w:rPr>
                <w:rFonts w:ascii="Calibri" w:eastAsia="Calibri" w:hAnsi="Calibri" w:cs="Calibri"/>
                <w:sz w:val="20"/>
                <w:szCs w:val="20"/>
              </w:rPr>
            </w:pPr>
            <w:r w:rsidRPr="00677FE4">
              <w:rPr>
                <w:rFonts w:ascii="Calibri" w:hAnsi="Calibri" w:cs="Calibri"/>
                <w:sz w:val="20"/>
                <w:szCs w:val="20"/>
              </w:rPr>
              <w:t xml:space="preserve">ESG Plus funds have </w:t>
            </w:r>
            <w:r w:rsidR="0099297D" w:rsidRPr="00677FE4">
              <w:rPr>
                <w:rFonts w:ascii="Calibri" w:hAnsi="Calibri" w:cs="Calibri"/>
                <w:sz w:val="20"/>
                <w:szCs w:val="20"/>
              </w:rPr>
              <w:t>environmental, social and governance risk mitigation strategies, often alongside other strategies which demonstrate the fund is intended for clients with an interest in ESG issues. They may have responsible ownership strategies that encourage higher standards and/or exclusion criteria. These funds may hold assets some clients review as controversial. Strategies vary. See fund entries for further information</w:t>
            </w:r>
          </w:p>
          <w:p w14:paraId="4420A368" w14:textId="77777777" w:rsidR="0099297D" w:rsidRPr="0099297D" w:rsidRDefault="0099297D" w:rsidP="00F520AE">
            <w:pPr>
              <w:jc w:val="both"/>
              <w:rPr>
                <w:rFonts w:ascii="Calibri" w:eastAsia="Calibri" w:hAnsi="Calibri" w:cs="Calibri"/>
                <w:sz w:val="12"/>
                <w:szCs w:val="12"/>
              </w:rPr>
            </w:pPr>
          </w:p>
        </w:tc>
        <w:tc>
          <w:tcPr>
            <w:tcW w:w="851" w:type="dxa"/>
          </w:tcPr>
          <w:p w14:paraId="332994A3" w14:textId="77777777" w:rsidR="0099297D" w:rsidRPr="0099297D" w:rsidRDefault="0099297D" w:rsidP="0099297D">
            <w:pPr>
              <w:rPr>
                <w:rFonts w:ascii="Calibri" w:eastAsia="Calibri" w:hAnsi="Calibri" w:cs="Calibri"/>
                <w:sz w:val="20"/>
                <w:szCs w:val="20"/>
              </w:rPr>
            </w:pPr>
          </w:p>
        </w:tc>
        <w:tc>
          <w:tcPr>
            <w:tcW w:w="2268" w:type="dxa"/>
          </w:tcPr>
          <w:p w14:paraId="5D381278" w14:textId="77777777" w:rsidR="0099297D" w:rsidRPr="0099297D" w:rsidRDefault="0099297D" w:rsidP="0099297D">
            <w:pPr>
              <w:rPr>
                <w:rFonts w:ascii="Calibri" w:eastAsia="Calibri" w:hAnsi="Calibri" w:cs="Calibri"/>
                <w:sz w:val="20"/>
                <w:szCs w:val="20"/>
              </w:rPr>
            </w:pPr>
          </w:p>
        </w:tc>
      </w:tr>
      <w:tr w:rsidR="00677FE4" w:rsidRPr="0099297D" w14:paraId="530E0B62" w14:textId="77777777" w:rsidTr="003F53B9">
        <w:tc>
          <w:tcPr>
            <w:tcW w:w="2269" w:type="dxa"/>
          </w:tcPr>
          <w:p w14:paraId="6967D2BD" w14:textId="3AFB7D82" w:rsidR="00677FE4" w:rsidRPr="00677FE4" w:rsidRDefault="00677FE4" w:rsidP="0099297D">
            <w:pPr>
              <w:rPr>
                <w:rFonts w:asciiTheme="majorHAnsi" w:eastAsia="Calibri" w:hAnsiTheme="majorHAnsi" w:cs="Calibri"/>
                <w:b/>
                <w:bCs/>
                <w:color w:val="0070C0"/>
                <w:u w:val="single"/>
              </w:rPr>
            </w:pPr>
            <w:r w:rsidRPr="00677FE4">
              <w:rPr>
                <w:rFonts w:asciiTheme="majorHAnsi" w:eastAsia="Calibri" w:hAnsiTheme="majorHAnsi" w:cs="Calibri"/>
                <w:b/>
                <w:bCs/>
                <w:color w:val="0070C0"/>
                <w:u w:val="single"/>
              </w:rPr>
              <w:t xml:space="preserve">Limited Exclusions Funds </w:t>
            </w:r>
          </w:p>
        </w:tc>
        <w:tc>
          <w:tcPr>
            <w:tcW w:w="4536" w:type="dxa"/>
          </w:tcPr>
          <w:p w14:paraId="4F0C93CC" w14:textId="43316F12" w:rsidR="00677FE4" w:rsidRPr="00677FE4" w:rsidRDefault="00677FE4" w:rsidP="00F520AE">
            <w:pPr>
              <w:jc w:val="both"/>
              <w:rPr>
                <w:rFonts w:ascii="Calibri" w:hAnsi="Calibri" w:cs="Calibri"/>
                <w:sz w:val="20"/>
                <w:szCs w:val="20"/>
              </w:rPr>
            </w:pPr>
            <w:r>
              <w:rPr>
                <w:rFonts w:ascii="Calibri" w:hAnsi="Calibri" w:cs="Calibri"/>
                <w:sz w:val="20"/>
                <w:szCs w:val="20"/>
              </w:rPr>
              <w:t>Limited Exclusion</w:t>
            </w:r>
            <w:r w:rsidRPr="00677FE4">
              <w:rPr>
                <w:rFonts w:ascii="Calibri" w:hAnsi="Calibri" w:cs="Calibri"/>
                <w:sz w:val="20"/>
                <w:szCs w:val="20"/>
              </w:rPr>
              <w:t xml:space="preserve">s our classification for funds that exclude only a very small proportion of an index or allowable universe – and invest otherwise in a ‘conventional’ fashion.  Some funds exclude companies with the worst possible ESG scores, others may avoid a </w:t>
            </w:r>
            <w:proofErr w:type="gramStart"/>
            <w:r w:rsidRPr="00677FE4">
              <w:rPr>
                <w:rFonts w:ascii="Calibri" w:hAnsi="Calibri" w:cs="Calibri"/>
                <w:sz w:val="20"/>
                <w:szCs w:val="20"/>
              </w:rPr>
              <w:t xml:space="preserve">single industry </w:t>
            </w:r>
            <w:proofErr w:type="spellStart"/>
            <w:r w:rsidRPr="00677FE4">
              <w:rPr>
                <w:rFonts w:ascii="Calibri" w:hAnsi="Calibri" w:cs="Calibri"/>
                <w:sz w:val="20"/>
                <w:szCs w:val="20"/>
              </w:rPr>
              <w:t>eg</w:t>
            </w:r>
            <w:proofErr w:type="spellEnd"/>
            <w:r w:rsidRPr="00677FE4">
              <w:rPr>
                <w:rFonts w:ascii="Calibri" w:hAnsi="Calibri" w:cs="Calibri"/>
                <w:sz w:val="20"/>
                <w:szCs w:val="20"/>
              </w:rPr>
              <w:t xml:space="preserve"> tobacco or cluster munitions manufacturers</w:t>
            </w:r>
            <w:proofErr w:type="gramEnd"/>
            <w:r w:rsidRPr="00677FE4">
              <w:rPr>
                <w:rFonts w:ascii="Calibri" w:hAnsi="Calibri" w:cs="Calibri"/>
                <w:sz w:val="20"/>
                <w:szCs w:val="20"/>
              </w:rPr>
              <w:t>.  These funds are significantly different from other SRI Styles as they have a very ‘limited’ impact on stock selection.</w:t>
            </w:r>
          </w:p>
        </w:tc>
        <w:tc>
          <w:tcPr>
            <w:tcW w:w="851" w:type="dxa"/>
          </w:tcPr>
          <w:p w14:paraId="308ECB9B" w14:textId="77777777" w:rsidR="00677FE4" w:rsidRPr="0099297D" w:rsidRDefault="00677FE4" w:rsidP="0099297D">
            <w:pPr>
              <w:rPr>
                <w:rFonts w:ascii="Calibri" w:eastAsia="Calibri" w:hAnsi="Calibri" w:cs="Calibri"/>
                <w:sz w:val="20"/>
                <w:szCs w:val="20"/>
              </w:rPr>
            </w:pPr>
          </w:p>
        </w:tc>
        <w:tc>
          <w:tcPr>
            <w:tcW w:w="2268" w:type="dxa"/>
          </w:tcPr>
          <w:p w14:paraId="7125D29F" w14:textId="77777777" w:rsidR="00677FE4" w:rsidRPr="0099297D" w:rsidRDefault="00677FE4" w:rsidP="0099297D">
            <w:pPr>
              <w:rPr>
                <w:rFonts w:ascii="Calibri" w:eastAsia="Calibri" w:hAnsi="Calibri" w:cs="Calibri"/>
                <w:sz w:val="20"/>
                <w:szCs w:val="20"/>
              </w:rPr>
            </w:pPr>
          </w:p>
        </w:tc>
      </w:tr>
    </w:tbl>
    <w:p w14:paraId="296A2CED" w14:textId="77777777" w:rsidR="00077C62" w:rsidRPr="00F520AE" w:rsidRDefault="00077C62">
      <w:pPr>
        <w:rPr>
          <w:rFonts w:ascii="Calibri" w:hAnsi="Calibri" w:cs="Calibri"/>
          <w:sz w:val="20"/>
          <w:szCs w:val="20"/>
        </w:rPr>
      </w:pPr>
    </w:p>
    <w:sectPr w:rsidR="00077C62" w:rsidRPr="00F520AE" w:rsidSect="0099297D">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8A8B1" w14:textId="77777777" w:rsidR="009C7EB8" w:rsidRDefault="009C7EB8" w:rsidP="009C7EB8">
      <w:pPr>
        <w:spacing w:after="0" w:line="240" w:lineRule="auto"/>
      </w:pPr>
      <w:r>
        <w:separator/>
      </w:r>
    </w:p>
  </w:endnote>
  <w:endnote w:type="continuationSeparator" w:id="0">
    <w:p w14:paraId="3D964341" w14:textId="77777777" w:rsidR="009C7EB8" w:rsidRDefault="009C7EB8" w:rsidP="009C7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1B9C5" w14:textId="77777777" w:rsidR="009C7EB8" w:rsidRDefault="009C7EB8" w:rsidP="009C7EB8">
      <w:pPr>
        <w:spacing w:after="0" w:line="240" w:lineRule="auto"/>
      </w:pPr>
      <w:r>
        <w:separator/>
      </w:r>
    </w:p>
  </w:footnote>
  <w:footnote w:type="continuationSeparator" w:id="0">
    <w:p w14:paraId="1CEB4388" w14:textId="77777777" w:rsidR="009C7EB8" w:rsidRDefault="009C7EB8" w:rsidP="009C7E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0DE88" w14:textId="785B3A0F" w:rsidR="004F6BC0" w:rsidRDefault="003F53B9" w:rsidP="004F6BC0">
    <w:pPr>
      <w:pStyle w:val="NormalWeb"/>
    </w:pPr>
    <w:r>
      <w:rPr>
        <w:noProof/>
        <w14:ligatures w14:val="standardContextual"/>
      </w:rPr>
      <w:drawing>
        <wp:anchor distT="0" distB="0" distL="114300" distR="114300" simplePos="0" relativeHeight="251673600" behindDoc="0" locked="0" layoutInCell="1" allowOverlap="1" wp14:anchorId="07B2DF74" wp14:editId="1A3F9E22">
          <wp:simplePos x="0" y="0"/>
          <wp:positionH relativeFrom="column">
            <wp:posOffset>1216077</wp:posOffset>
          </wp:positionH>
          <wp:positionV relativeFrom="paragraph">
            <wp:posOffset>-242570</wp:posOffset>
          </wp:positionV>
          <wp:extent cx="3204845" cy="623570"/>
          <wp:effectExtent l="0" t="0" r="0" b="5080"/>
          <wp:wrapThrough wrapText="bothSides">
            <wp:wrapPolygon edited="0">
              <wp:start x="0" y="0"/>
              <wp:lineTo x="0" y="21116"/>
              <wp:lineTo x="21442" y="21116"/>
              <wp:lineTo x="21442" y="0"/>
              <wp:lineTo x="0" y="0"/>
            </wp:wrapPolygon>
          </wp:wrapThrough>
          <wp:docPr id="168621413" name="Picture 5" descr="A black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21413" name="Picture 5" descr="A black and blu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204845" cy="623570"/>
                  </a:xfrm>
                  <a:prstGeom prst="rect">
                    <a:avLst/>
                  </a:prstGeom>
                </pic:spPr>
              </pic:pic>
            </a:graphicData>
          </a:graphic>
          <wp14:sizeRelH relativeFrom="margin">
            <wp14:pctWidth>0</wp14:pctWidth>
          </wp14:sizeRelH>
          <wp14:sizeRelV relativeFrom="margin">
            <wp14:pctHeight>0</wp14:pctHeight>
          </wp14:sizeRelV>
        </wp:anchor>
      </w:drawing>
    </w:r>
  </w:p>
  <w:p w14:paraId="5731D27B" w14:textId="193FC2E4" w:rsidR="009C7EB8" w:rsidRDefault="009C7E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97D"/>
    <w:rsid w:val="00077C62"/>
    <w:rsid w:val="003F53B9"/>
    <w:rsid w:val="004F6BC0"/>
    <w:rsid w:val="0059196F"/>
    <w:rsid w:val="005F733B"/>
    <w:rsid w:val="00677FE4"/>
    <w:rsid w:val="006F0AA2"/>
    <w:rsid w:val="0099297D"/>
    <w:rsid w:val="009C7EB8"/>
    <w:rsid w:val="00E6650F"/>
    <w:rsid w:val="00F520AE"/>
    <w:rsid w:val="00FC32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EBC309"/>
  <w15:chartTrackingRefBased/>
  <w15:docId w15:val="{7CA48663-544E-4CD5-9A47-33E2053F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29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29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29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29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29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29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29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29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29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9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29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29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29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29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29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29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29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297D"/>
    <w:rPr>
      <w:rFonts w:eastAsiaTheme="majorEastAsia" w:cstheme="majorBidi"/>
      <w:color w:val="272727" w:themeColor="text1" w:themeTint="D8"/>
    </w:rPr>
  </w:style>
  <w:style w:type="paragraph" w:styleId="Title">
    <w:name w:val="Title"/>
    <w:basedOn w:val="Normal"/>
    <w:next w:val="Normal"/>
    <w:link w:val="TitleChar"/>
    <w:uiPriority w:val="10"/>
    <w:qFormat/>
    <w:rsid w:val="009929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29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29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29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297D"/>
    <w:pPr>
      <w:spacing w:before="160"/>
      <w:jc w:val="center"/>
    </w:pPr>
    <w:rPr>
      <w:i/>
      <w:iCs/>
      <w:color w:val="404040" w:themeColor="text1" w:themeTint="BF"/>
    </w:rPr>
  </w:style>
  <w:style w:type="character" w:customStyle="1" w:styleId="QuoteChar">
    <w:name w:val="Quote Char"/>
    <w:basedOn w:val="DefaultParagraphFont"/>
    <w:link w:val="Quote"/>
    <w:uiPriority w:val="29"/>
    <w:rsid w:val="0099297D"/>
    <w:rPr>
      <w:i/>
      <w:iCs/>
      <w:color w:val="404040" w:themeColor="text1" w:themeTint="BF"/>
    </w:rPr>
  </w:style>
  <w:style w:type="paragraph" w:styleId="ListParagraph">
    <w:name w:val="List Paragraph"/>
    <w:basedOn w:val="Normal"/>
    <w:uiPriority w:val="34"/>
    <w:qFormat/>
    <w:rsid w:val="0099297D"/>
    <w:pPr>
      <w:ind w:left="720"/>
      <w:contextualSpacing/>
    </w:pPr>
  </w:style>
  <w:style w:type="character" w:styleId="IntenseEmphasis">
    <w:name w:val="Intense Emphasis"/>
    <w:basedOn w:val="DefaultParagraphFont"/>
    <w:uiPriority w:val="21"/>
    <w:qFormat/>
    <w:rsid w:val="0099297D"/>
    <w:rPr>
      <w:i/>
      <w:iCs/>
      <w:color w:val="0F4761" w:themeColor="accent1" w:themeShade="BF"/>
    </w:rPr>
  </w:style>
  <w:style w:type="paragraph" w:styleId="IntenseQuote">
    <w:name w:val="Intense Quote"/>
    <w:basedOn w:val="Normal"/>
    <w:next w:val="Normal"/>
    <w:link w:val="IntenseQuoteChar"/>
    <w:uiPriority w:val="30"/>
    <w:qFormat/>
    <w:rsid w:val="009929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297D"/>
    <w:rPr>
      <w:i/>
      <w:iCs/>
      <w:color w:val="0F4761" w:themeColor="accent1" w:themeShade="BF"/>
    </w:rPr>
  </w:style>
  <w:style w:type="character" w:styleId="IntenseReference">
    <w:name w:val="Intense Reference"/>
    <w:basedOn w:val="DefaultParagraphFont"/>
    <w:uiPriority w:val="32"/>
    <w:qFormat/>
    <w:rsid w:val="0099297D"/>
    <w:rPr>
      <w:b/>
      <w:bCs/>
      <w:smallCaps/>
      <w:color w:val="0F4761" w:themeColor="accent1" w:themeShade="BF"/>
      <w:spacing w:val="5"/>
    </w:rPr>
  </w:style>
  <w:style w:type="table" w:customStyle="1" w:styleId="TableGrid1">
    <w:name w:val="Table Grid1"/>
    <w:basedOn w:val="TableNormal"/>
    <w:next w:val="TableGrid"/>
    <w:uiPriority w:val="39"/>
    <w:rsid w:val="0099297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92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9297D"/>
    <w:rPr>
      <w:b/>
      <w:bCs/>
    </w:rPr>
  </w:style>
  <w:style w:type="character" w:styleId="Hyperlink">
    <w:name w:val="Hyperlink"/>
    <w:basedOn w:val="DefaultParagraphFont"/>
    <w:uiPriority w:val="99"/>
    <w:unhideWhenUsed/>
    <w:rsid w:val="0099297D"/>
    <w:rPr>
      <w:color w:val="0000FF"/>
      <w:u w:val="single"/>
    </w:rPr>
  </w:style>
  <w:style w:type="character" w:styleId="UnresolvedMention">
    <w:name w:val="Unresolved Mention"/>
    <w:basedOn w:val="DefaultParagraphFont"/>
    <w:uiPriority w:val="99"/>
    <w:semiHidden/>
    <w:unhideWhenUsed/>
    <w:rsid w:val="0099297D"/>
    <w:rPr>
      <w:color w:val="605E5C"/>
      <w:shd w:val="clear" w:color="auto" w:fill="E1DFDD"/>
    </w:rPr>
  </w:style>
  <w:style w:type="character" w:styleId="FollowedHyperlink">
    <w:name w:val="FollowedHyperlink"/>
    <w:basedOn w:val="DefaultParagraphFont"/>
    <w:uiPriority w:val="99"/>
    <w:semiHidden/>
    <w:unhideWhenUsed/>
    <w:rsid w:val="0099297D"/>
    <w:rPr>
      <w:color w:val="96607D" w:themeColor="followedHyperlink"/>
      <w:u w:val="single"/>
    </w:rPr>
  </w:style>
  <w:style w:type="paragraph" w:styleId="Header">
    <w:name w:val="header"/>
    <w:basedOn w:val="Normal"/>
    <w:link w:val="HeaderChar"/>
    <w:uiPriority w:val="99"/>
    <w:unhideWhenUsed/>
    <w:rsid w:val="009C7E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7EB8"/>
  </w:style>
  <w:style w:type="paragraph" w:styleId="Footer">
    <w:name w:val="footer"/>
    <w:basedOn w:val="Normal"/>
    <w:link w:val="FooterChar"/>
    <w:uiPriority w:val="99"/>
    <w:unhideWhenUsed/>
    <w:rsid w:val="009C7E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7EB8"/>
  </w:style>
  <w:style w:type="paragraph" w:styleId="NormalWeb">
    <w:name w:val="Normal (Web)"/>
    <w:basedOn w:val="Normal"/>
    <w:uiPriority w:val="99"/>
    <w:semiHidden/>
    <w:unhideWhenUsed/>
    <w:rsid w:val="004F6BC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34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decomarket.co.uk/fund-ecomarket-help/sri-styles-directory/social-focus/" TargetMode="External"/><Relationship Id="rId13" Type="http://schemas.openxmlformats.org/officeDocument/2006/relationships/hyperlink" Target="https://fundecomarket.co.uk/fund-ecomarket-help/sri-styles-directory/sustainability-tilted-funds/" TargetMode="External"/><Relationship Id="rId3" Type="http://schemas.openxmlformats.org/officeDocument/2006/relationships/webSettings" Target="webSettings.xml"/><Relationship Id="rId7" Type="http://schemas.openxmlformats.org/officeDocument/2006/relationships/hyperlink" Target="https://www.fundecomarket.co.uk/fund-ecomarket-help/sri-styles-directory/environmental-focus/" TargetMode="External"/><Relationship Id="rId12" Type="http://schemas.openxmlformats.org/officeDocument/2006/relationships/hyperlink" Target="https://www.fundecomarket.co.uk/fund-ecomarket-help/sri-styles-directory/sustainability-tilted-fund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fundecomarket.co.uk/fund-ecomarket-help/sri-styles-directory/sustainability-select/" TargetMode="External"/><Relationship Id="rId11" Type="http://schemas.openxmlformats.org/officeDocument/2006/relationships/hyperlink" Target="https://www.fundecomarket.co.uk/fund-ecomarket-help/sri-styles-directory/faith-based/"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fundecomarket.co.uk/fund-ecomarket-help/sri-styles-directory/ethical/" TargetMode="External"/><Relationship Id="rId4" Type="http://schemas.openxmlformats.org/officeDocument/2006/relationships/footnotes" Target="footnotes.xml"/><Relationship Id="rId9" Type="http://schemas.openxmlformats.org/officeDocument/2006/relationships/hyperlink" Target="https://www.fundecomarket.co.uk/fund-ecomarket-help/sri-styles-directory/social-focus/" TargetMode="External"/><Relationship Id="rId14" Type="http://schemas.openxmlformats.org/officeDocument/2006/relationships/hyperlink" Target="https://www.fundecomarket.co.uk/fund-ecomarket-help/sri-styles-directory/esg-pl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Vaughan</dc:creator>
  <cp:keywords/>
  <dc:description/>
  <cp:lastModifiedBy>Su Vaughan</cp:lastModifiedBy>
  <cp:revision>2</cp:revision>
  <dcterms:created xsi:type="dcterms:W3CDTF">2025-02-22T16:54:00Z</dcterms:created>
  <dcterms:modified xsi:type="dcterms:W3CDTF">2025-02-22T16:54:00Z</dcterms:modified>
</cp:coreProperties>
</file>